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Times New Roman" w:cs="Times New Roman"/>
          <w:b/>
          <w:b/>
          <w:color w:val="00B0F0"/>
          <w:kern w:val="0"/>
          <w:sz w:val="28"/>
          <w:szCs w:val="24"/>
          <w:lang w:val="ca-ES" w:eastAsia="es-ES"/>
          <w14:ligatures w14:val="none"/>
        </w:rPr>
      </w:pPr>
      <w:r>
        <w:rPr>
          <w:rFonts w:eastAsia="Times New Roman" w:cs="Times New Roman" w:ascii="Century Gothic" w:hAnsi="Century Gothic"/>
          <w:b/>
          <w:color w:val="00B0F0"/>
          <w:kern w:val="0"/>
          <w:sz w:val="28"/>
          <w:szCs w:val="24"/>
          <w:lang w:val="ca-ES" w:eastAsia="es-ES"/>
          <w14:ligatures w14:val="none"/>
        </w:rPr>
      </w:r>
      <w:bookmarkStart w:id="0" w:name="_GoBack"/>
      <w:bookmarkStart w:id="1" w:name="_GoBack"/>
      <w:bookmarkEnd w:id="1"/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Times New Roman" w:cs="Arial"/>
          <w:b/>
          <w:b/>
          <w:color w:val="70AD47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b/>
          <w:color w:val="70AD47"/>
          <w:kern w:val="0"/>
          <w:lang w:val="ca-ES" w:eastAsia="es-ES"/>
          <w14:ligatures w14:val="none"/>
        </w:rPr>
        <w:t>AVALUACIÓ ORDINÀRIA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uppressAutoHyphens w:val="true"/>
        <w:spacing w:lineRule="auto" w:line="240" w:before="240" w:after="60"/>
        <w:ind w:left="0" w:hanging="0"/>
        <w:outlineLvl w:val="2"/>
        <w:rPr>
          <w:rFonts w:ascii="Century Gothic" w:hAnsi="Century Gothic" w:eastAsia="ヒラギノ角ゴ Pro W3" w:cs="Arial"/>
          <w:b/>
          <w:b/>
          <w:color w:val="00B0F0"/>
          <w:kern w:val="2"/>
          <w:lang w:val="ca-ES" w:eastAsia="es-ES"/>
          <w14:ligatures w14:val="none"/>
        </w:rPr>
      </w:pPr>
      <w:r>
        <w:rPr>
          <w:rFonts w:eastAsia="ヒラギノ角ゴ Pro W3" w:cs="Arial" w:ascii="Century Gothic" w:hAnsi="Century Gothic"/>
          <w:b/>
          <w:color w:val="00B0F0"/>
          <w:kern w:val="2"/>
          <w:lang w:val="ca-ES" w:eastAsia="es-ES"/>
          <w14:ligatures w14:val="none"/>
        </w:rPr>
        <w:t>Nota trimestral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  <w:t xml:space="preserve">La nota final de la convocatòria trimestral s’obté a partir de les notes obtingudes en el treball de les competències específiques de la matèria seleccionades a continuació. 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Times New Roman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  <w:t xml:space="preserve">De caràcter general, els instruments d’avaluació seran diferents, preveuran </w:t>
      </w:r>
      <w:r>
        <w:rPr>
          <w:rFonts w:eastAsia="Times New Roman" w:cs="Arial" w:ascii="Century Gothic" w:hAnsi="Century Gothic"/>
          <w:color w:val="222222"/>
          <w:kern w:val="0"/>
          <w:shd w:fill="FFFFFF" w:val="clear"/>
          <w:lang w:val="ca-ES" w:eastAsia="es-ES"/>
          <w14:ligatures w14:val="none"/>
        </w:rPr>
        <w:t>l'autoavaluació i la co-avaluació d’alumnat i garantiran un seguiment continu de cada alumne/a al llarg del procés d'aprenentatge.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</w:r>
    </w:p>
    <w:tbl>
      <w:tblPr>
        <w:tblW w:w="985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88"/>
        <w:gridCol w:w="1261"/>
      </w:tblGrid>
      <w:tr>
        <w:trPr>
          <w:trHeight w:val="807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center"/>
              <w:rPr>
                <w:rFonts w:ascii="Century Gothic" w:hAnsi="Century Gothic" w:eastAsia="Times New Roman" w:cs="Arial"/>
                <w:b/>
                <w:b/>
                <w:bCs/>
                <w:color w:val="FFFFFF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color w:val="FFFFFF"/>
                <w:kern w:val="0"/>
                <w:lang w:val="ca-ES" w:eastAsia="es-ES"/>
                <w14:ligatures w14:val="none"/>
              </w:rPr>
              <w:t xml:space="preserve">COMPETÈNCIES ESPECÍFIQUES MATÈRIA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center"/>
              <w:rPr>
                <w:rFonts w:ascii="Century Gothic" w:hAnsi="Century Gothic" w:eastAsia="Times New Roman" w:cs="Arial"/>
                <w:b/>
                <w:b/>
                <w:bCs/>
                <w:color w:val="FFFFFF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color w:val="FFFFFF"/>
                <w:kern w:val="0"/>
                <w:lang w:val="ca-ES" w:eastAsia="es-ES"/>
                <w14:ligatures w14:val="none"/>
              </w:rPr>
              <w:t>SELECCIÓ</w:t>
            </w:r>
          </w:p>
        </w:tc>
      </w:tr>
      <w:tr>
        <w:trPr>
          <w:trHeight w:val="907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Century Gothic" w:hAnsi="Century Gothic" w:eastAsia="Calibri" w:cs="Times New Roman"/>
                <w:color w:val="333333"/>
                <w:kern w:val="0"/>
                <w:sz w:val="16"/>
                <w:szCs w:val="16"/>
                <w:lang w:eastAsia="es-ES_tradnl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>Competència específica 1.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>
              <w:rPr>
                <w:rFonts w:eastAsia="Calibri" w:cs="Times New Roman" w:ascii="Century Gothic" w:hAnsi="Century Gothic"/>
                <w:i/>
                <w:i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>Descriure i valorar la diversitat lingüística i cultural a partir del reconeixement de les llengües de l’alumnat i la realitat plurilingüe, pluricultural i intercultural, per afavorir la transferència lingüística, identificar i rebutjar estereotips i prejudicis lingüístics i valorar aquesta diversitat com a font de riquesa cultural.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shd w:fill="B4C7DC" w:val="clear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shd w:fill="B4C7DC" w:val="clear"/>
                <w:lang w:val="ca-ES" w:eastAsia="es-ES"/>
                <w14:ligatures w14:val="none"/>
              </w:rPr>
              <w:t>1</w:t>
            </w: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shd w:fill="B4C7DC" w:val="clear"/>
                <w:vertAlign w:val="superscript"/>
                <w:lang w:val="ca-ES" w:eastAsia="es-ES"/>
                <w14:ligatures w14:val="none"/>
              </w:rPr>
              <w:t>r</w:t>
            </w: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shd w:fill="B4C7DC" w:val="clear"/>
                <w:lang w:val="ca-ES" w:eastAsia="es-ES"/>
                <w14:ligatures w14:val="none"/>
              </w:rPr>
              <w:t xml:space="preserve"> - 4t</w:t>
            </w:r>
          </w:p>
        </w:tc>
      </w:tr>
      <w:tr>
        <w:trPr>
          <w:trHeight w:val="693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 xml:space="preserve">Competència específica 2. </w:t>
            </w:r>
            <w:r>
              <w:rPr>
                <w:rFonts w:eastAsia="Calibri" w:cs="Times New Roman" w:ascii="Century Gothic" w:hAnsi="Century Gothic"/>
                <w:i/>
                <w:i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>Comprendre i interpretar textos orals i multimodals, en la llengua estàndard, recollint el sentit general i la informació més rellevant, la seva forma i el seu contingut, per construir coneixement, formar-se opinió i eixamplar les possibilitats de gaudi i lleure.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shd w:fill="B4C7DC" w:val="clear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shd w:fill="B4C7DC" w:val="clear"/>
                <w:lang w:val="ca-ES" w:eastAsia="es-ES"/>
                <w14:ligatures w14:val="none"/>
              </w:rPr>
              <w:t>1r - 4t</w:t>
            </w:r>
          </w:p>
        </w:tc>
      </w:tr>
      <w:tr>
        <w:trPr>
          <w:trHeight w:val="402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 xml:space="preserve">Competència específica 3. </w:t>
            </w:r>
            <w:r>
              <w:rPr>
                <w:rFonts w:eastAsia="Calibri" w:cs="Arial" w:ascii="Century Gothic" w:hAnsi="Century Gothic"/>
                <w:i/>
                <w:iCs/>
                <w:kern w:val="0"/>
                <w:sz w:val="16"/>
                <w:szCs w:val="16"/>
                <w:lang w:val="ca-ES" w:eastAsia="es-ES"/>
                <w14:ligatures w14:val="none"/>
              </w:rPr>
              <w:t>Produir textos orals i multimodals amb coherència, claredat i registre adequats, atenent les convencions pròpies dels diferents gèneres discursius i participar en interaccions orals variades, amb autonomia, per expressar idees, sentiments i conceptes, construir coneixement i establir vincles personals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shd w:fill="B4C7DC" w:val="clear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shd w:fill="B4C7DC" w:val="clear"/>
                <w:lang w:val="ca-ES" w:eastAsia="es-ES"/>
                <w14:ligatures w14:val="none"/>
              </w:rPr>
              <w:t>1r – 4t</w:t>
            </w:r>
          </w:p>
        </w:tc>
      </w:tr>
      <w:tr>
        <w:trPr>
          <w:trHeight w:val="402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 xml:space="preserve">Competència específica 4. </w:t>
            </w:r>
            <w:r>
              <w:rPr>
                <w:rFonts w:eastAsia="Calibri" w:cs="Arial" w:ascii="Century Gothic" w:hAnsi="Century Gothic"/>
                <w:i/>
                <w:iCs/>
                <w:kern w:val="0"/>
                <w:sz w:val="16"/>
                <w:szCs w:val="16"/>
                <w:lang w:val="ca-ES" w:eastAsia="es-ES"/>
                <w14:ligatures w14:val="none"/>
              </w:rPr>
              <w:t>Comprendre, interpretar i analitzar, amb sentit crític i diferents propòsits de lectura, textos escrits i multimodals reconeixent el sentit global i les idees principals i secundàries, identificant-ne la intenció de l’emissor, reflexionant-ne sobre el contingut i la forma i avaluar-ne la qualitat i fiabilitat, per tal de construir coneixement i donar resposta a necessitats i interessos comunicatius diversos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>1 - 2</w:t>
            </w:r>
          </w:p>
        </w:tc>
      </w:tr>
      <w:tr>
        <w:trPr>
          <w:trHeight w:val="402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 xml:space="preserve">Competència específica 5. </w:t>
            </w:r>
            <w:r>
              <w:rPr>
                <w:rFonts w:eastAsia="Calibri" w:cs="Arial" w:ascii="Century Gothic" w:hAnsi="Century Gothic"/>
                <w:i/>
                <w:iCs/>
                <w:kern w:val="0"/>
                <w:sz w:val="16"/>
                <w:szCs w:val="16"/>
                <w:lang w:val="ca-ES" w:eastAsia="es-ES"/>
                <w14:ligatures w14:val="none"/>
              </w:rPr>
              <w:t>Produir textos escrits i multimodals amb adequació, coherència, cohesió, aplicant estratègies elementals de planificació, redacció, revisió, correcció i edició, amb regulació dels iguals i autoregulació progressivament autònoma i atenent les convencions pròpies del gènere discursiu triat, per construir coneixement i donar resposta de manera informada, eficaç i creativa a demandes comunicatives concretes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alibri" w:cs="Times New Roman"/>
                <w:b/>
                <w:b/>
                <w:bCs/>
                <w:color w:val="800080"/>
                <w:kern w:val="0"/>
                <w:sz w:val="16"/>
                <w:szCs w:val="16"/>
                <w:shd w:fill="B4C7DC" w:val="clear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800080"/>
                <w:kern w:val="0"/>
                <w:sz w:val="16"/>
                <w:szCs w:val="16"/>
                <w:shd w:fill="B4C7DC" w:val="clear"/>
                <w:lang w:val="ca-ES" w:eastAsia="es-ES"/>
                <w14:ligatures w14:val="none"/>
              </w:rPr>
              <w:t>1r – 4t</w:t>
            </w:r>
          </w:p>
        </w:tc>
      </w:tr>
      <w:tr>
        <w:trPr>
          <w:trHeight w:val="402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>Competència específica 6 .</w:t>
            </w:r>
            <w:r>
              <w:rPr>
                <w:rFonts w:eastAsia="Calibri" w:cs="Arial" w:ascii="Century Gothic" w:hAnsi="Century Gothic"/>
                <w:i/>
                <w:iCs/>
                <w:kern w:val="0"/>
                <w:sz w:val="16"/>
                <w:szCs w:val="16"/>
                <w:lang w:val="ca-ES" w:eastAsia="es-ES"/>
                <w14:ligatures w14:val="none"/>
              </w:rPr>
              <w:t>Cercar, seleccionar i contrastar informació procedent de diferents fonts de manera progressivament autònoma, avaluant-ne la fiabilitat i pertinència en funció dels objectius de lectura i evitant els riscos de manipulació i desinformació, i integrar-la i transformar-la en coneixement, per comunicar-la, adoptant un punt vista crític, personal i respectuós amb la propietat intel·lectual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alibri" w:cs="Times New Roman"/>
                <w:b/>
                <w:b/>
                <w:bCs/>
                <w:color w:val="800080"/>
                <w:kern w:val="0"/>
                <w:sz w:val="16"/>
                <w:szCs w:val="16"/>
                <w:shd w:fill="B4C7DC" w:val="clear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800080"/>
                <w:kern w:val="0"/>
                <w:sz w:val="16"/>
                <w:szCs w:val="16"/>
                <w:shd w:fill="B4C7DC" w:val="clear"/>
                <w:lang w:val="ca-ES" w:eastAsia="es-ES"/>
                <w14:ligatures w14:val="none"/>
              </w:rPr>
              <w:t>4</w:t>
            </w:r>
          </w:p>
        </w:tc>
      </w:tr>
      <w:tr>
        <w:trPr>
          <w:trHeight w:val="402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 xml:space="preserve">Competència específica 7. </w:t>
            </w:r>
            <w:r>
              <w:rPr>
                <w:rFonts w:eastAsia="Calibri" w:cs="Arial" w:ascii="Century Gothic" w:hAnsi="Century Gothic"/>
                <w:i/>
                <w:iCs/>
                <w:kern w:val="0"/>
                <w:sz w:val="16"/>
                <w:szCs w:val="16"/>
                <w:lang w:val="ca-ES" w:eastAsia="es-ES"/>
                <w14:ligatures w14:val="none"/>
              </w:rPr>
              <w:t>Seleccionar i llegir de manera autònoma obres diverses com a font de plaer i coneixement, configurant un itinerari lector que s’enriqueixi progressivament pel que fa a diversitat, complexitat i qualitat de les obres, i compartir experiències de lectura, per construir la pròpia identitat lectora i gaudir de la dimensió social de la lectura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Century Gothic" w:hAnsi="Century Gothic" w:cs="Times New Roman"/>
                <w:b/>
                <w:b/>
                <w:bCs/>
                <w:color w:val="800080"/>
                <w:kern w:val="0"/>
                <w:sz w:val="16"/>
                <w:szCs w:val="16"/>
                <w:shd w:fill="auto" w:val="clear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800080"/>
                <w:kern w:val="0"/>
                <w:sz w:val="16"/>
                <w:szCs w:val="16"/>
                <w:shd w:fill="auto" w:val="clear"/>
                <w:lang w:val="ca-ES" w:eastAsia="es-ES"/>
                <w14:ligatures w14:val="none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 xml:space="preserve">Competència específica 8. </w:t>
            </w:r>
            <w:r>
              <w:rPr>
                <w:rFonts w:eastAsia="Calibri" w:cs="Arial" w:ascii="Century Gothic" w:hAnsi="Century Gothic"/>
                <w:i/>
                <w:iCs/>
                <w:kern w:val="0"/>
                <w:sz w:val="16"/>
                <w:szCs w:val="16"/>
                <w:lang w:val="ca-ES" w:eastAsia="es-ES"/>
                <w14:ligatures w14:val="none"/>
              </w:rPr>
              <w:t>Mediar entre diferents llengües, fent servir estratègies i coneixements senzills orientats a explicar conceptes o simplificar missatges, transmetre informació de manera eficaç, clara i responsable.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>1 - 2</w:t>
            </w:r>
          </w:p>
        </w:tc>
      </w:tr>
      <w:tr>
        <w:trPr>
          <w:trHeight w:val="402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 xml:space="preserve">Competència específica 9. </w:t>
            </w:r>
            <w:r>
              <w:rPr>
                <w:rFonts w:eastAsia="Calibri" w:cs="Arial" w:ascii="Century Gothic" w:hAnsi="Century Gothic"/>
                <w:i/>
                <w:iCs/>
                <w:kern w:val="0"/>
                <w:sz w:val="16"/>
                <w:szCs w:val="16"/>
                <w:lang w:val="ca-ES" w:eastAsia="es-ES"/>
                <w14:ligatures w14:val="none"/>
              </w:rPr>
              <w:t>Ampliar i usar els repertoris lingüístics personals entre diferents llengües, reflexionant de manera crítica sobre el seu funcionament i prenent consciència de les estratègies i coneixements propis, per millorar la resposta a necessitats comunicatives concretes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shd w:fill="B4C7DC" w:val="clear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shd w:fill="B4C7DC" w:val="clear"/>
                <w:lang w:val="ca-ES" w:eastAsia="es-ES"/>
                <w14:ligatures w14:val="none"/>
              </w:rPr>
              <w:t>3 - 4</w:t>
            </w:r>
          </w:p>
        </w:tc>
      </w:tr>
      <w:tr>
        <w:trPr>
          <w:trHeight w:val="402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 xml:space="preserve">Competència específica 10. </w:t>
            </w:r>
            <w:r>
              <w:rPr>
                <w:rFonts w:eastAsia="Calibri" w:cs="Arial" w:ascii="Century Gothic" w:hAnsi="Century Gothic"/>
                <w:i/>
                <w:iCs/>
                <w:kern w:val="0"/>
                <w:sz w:val="16"/>
                <w:szCs w:val="16"/>
                <w:lang w:val="ca-ES" w:eastAsia="es-ES"/>
                <w14:ligatures w14:val="none"/>
              </w:rPr>
              <w:t>Posar al servei de la connivència democràtica, la resolució dialogada dels conflictes i la igualtat de drets de totes les persones, les pròpies pràctiques comunicatives, utilitzant un llenguatge no discriminatori i desterrant els abusos de poder a través de la paraula, per afavorir un ús eficaç, ètic i democràtic del llenguatge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shd w:fill="B4C7DC" w:val="clear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shd w:fill="B4C7DC" w:val="clear"/>
                <w:lang w:val="ca-ES" w:eastAsia="es-ES"/>
                <w14:ligatures w14:val="none"/>
              </w:rPr>
              <w:t>1r - 4t</w:t>
            </w:r>
          </w:p>
        </w:tc>
      </w:tr>
    </w:tbl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</w:r>
    </w:p>
    <w:tbl>
      <w:tblPr>
        <w:tblW w:w="106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26"/>
        <w:gridCol w:w="4096"/>
        <w:gridCol w:w="1943"/>
      </w:tblGrid>
      <w:tr>
        <w:trPr>
          <w:trHeight w:val="718" w:hRule="atLeast"/>
        </w:trPr>
        <w:tc>
          <w:tcPr>
            <w:tcW w:w="46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center"/>
              <w:rPr>
                <w:rFonts w:ascii="Century Gothic" w:hAnsi="Century Gothic" w:eastAsia="Times New Roman" w:cs="Arial"/>
                <w:b/>
                <w:b/>
                <w:bCs/>
                <w:color w:val="FFFFFF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color w:val="FFFFFF"/>
                <w:kern w:val="0"/>
                <w:lang w:val="ca-ES" w:eastAsia="es-ES"/>
                <w14:ligatures w14:val="none"/>
              </w:rPr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center"/>
              <w:rPr>
                <w:rFonts w:ascii="Century Gothic" w:hAnsi="Century Gothic" w:eastAsia="Times New Roman" w:cs="Arial"/>
                <w:b/>
                <w:b/>
                <w:bCs/>
                <w:color w:val="FFFFFF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color w:val="FFFFFF"/>
                <w:kern w:val="0"/>
                <w:lang w:val="ca-ES" w:eastAsia="es-ES"/>
                <w14:ligatures w14:val="none"/>
              </w:rPr>
              <w:t>INSTRUMENTS D’AVALUACIÓ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center"/>
              <w:rPr>
                <w:rFonts w:ascii="Century Gothic" w:hAnsi="Century Gothic" w:eastAsia="Times New Roman" w:cs="Arial"/>
                <w:b/>
                <w:b/>
                <w:bCs/>
                <w:color w:val="FFFFFF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color w:val="FFFFFF"/>
                <w:kern w:val="0"/>
                <w:lang w:val="ca-ES" w:eastAsia="es-ES"/>
                <w14:ligatures w14:val="none"/>
              </w:rPr>
              <w:t>PONDERACIONS</w:t>
            </w:r>
          </w:p>
        </w:tc>
      </w:tr>
      <w:tr>
        <w:trPr>
          <w:trHeight w:val="711" w:hRule="atLeast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sz w:val="20"/>
                <w:szCs w:val="2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kern w:val="0"/>
                <w:sz w:val="20"/>
                <w:szCs w:val="20"/>
                <w:lang w:val="ca-ES" w:eastAsia="es-ES"/>
                <w14:ligatures w14:val="none"/>
              </w:rPr>
              <w:t>COMPETÈNCIES específiques de matèria treballades  aquest curs/nivell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kern w:val="0"/>
                <w:lang w:val="ca-ES" w:eastAsia="es-ES"/>
                <w14:ligatures w14:val="none"/>
              </w:rPr>
              <w:t>Competència Específica 1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 xml:space="preserve">Tasques avaluables d’ús lingüístic 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1440" w:hanging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kern w:val="0"/>
                <w:lang w:val="ca-ES" w:eastAsia="es-ES"/>
                <w14:ligatures w14:val="none"/>
              </w:rPr>
              <w:t>Competència Específica 2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Prova de listening skills de cada unitat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1440" w:hanging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kern w:val="0"/>
                <w:lang w:val="ca-ES" w:eastAsia="es-ES"/>
                <w14:ligatures w14:val="none"/>
              </w:rPr>
              <w:t>Competència Específica 3 / 9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Activitats orals i ús de l’anglès com a llengua vehicular a l’aula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1440" w:hanging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kern w:val="0"/>
                <w:lang w:val="ca-ES" w:eastAsia="es-ES"/>
                <w14:ligatures w14:val="none"/>
              </w:rPr>
              <w:t>Competència Específica 5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contextualSpacing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Prova de writing skills de cada unitat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contextualSpacing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Redaccions de cada unitat *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1440" w:hanging="0"/>
              <w:contextualSpacing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kern w:val="0"/>
                <w:lang w:val="ca-ES" w:eastAsia="es-ES"/>
                <w14:ligatures w14:val="none"/>
              </w:rPr>
              <w:t xml:space="preserve">Competència Específica </w:t>
            </w:r>
            <w:r>
              <w:rPr>
                <w:rFonts w:eastAsia="Times New Roman" w:cs="Arial" w:ascii="Century Gothic" w:hAnsi="Century Gothic"/>
                <w:b/>
                <w:bCs/>
                <w:kern w:val="0"/>
                <w:lang w:val="ca-ES" w:eastAsia="es-ES"/>
                <w14:ligatures w14:val="none"/>
              </w:rPr>
              <w:t>6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Prova de reading skills de cada unitat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1440" w:hanging="0"/>
              <w:contextualSpacing/>
              <w:jc w:val="both"/>
              <w:rPr>
                <w14:ligatures w14:val="none"/>
              </w:rPr>
            </w:pPr>
            <w:r>
              <w:rPr>
                <w14:ligatures w14:val="none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1440" w:hanging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kern w:val="0"/>
                <w:lang w:val="ca-ES" w:eastAsia="es-ES"/>
                <w14:ligatures w14:val="none"/>
              </w:rPr>
              <w:t>Competència Específica 10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Feina a classe individual i/o grupal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Activitats de pràctica/reforç a casa (en paper i/o online)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Situacions d’aprenentatge (una per trimestre) + reader** + altres projectes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10%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10%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10%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10%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10%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10%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14:ligatures w14:val="none"/>
              </w:rPr>
            </w:pPr>
            <w:r>
              <w:rPr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5%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10%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15%</w:t>
            </w:r>
          </w:p>
        </w:tc>
      </w:tr>
      <w:tr>
        <w:trPr>
          <w:trHeight w:val="802" w:hRule="atLeast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sz w:val="20"/>
                <w:szCs w:val="2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kern w:val="0"/>
                <w:sz w:val="20"/>
                <w:szCs w:val="20"/>
                <w:lang w:val="ca-ES" w:eastAsia="es-ES"/>
                <w14:ligatures w14:val="none"/>
              </w:rPr>
              <w:t>COMPETÈNCIES comunes a totes les matèries: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i/>
                <w:i/>
                <w:kern w:val="0"/>
                <w:sz w:val="20"/>
                <w:szCs w:val="2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i/>
                <w:kern w:val="0"/>
                <w:sz w:val="20"/>
                <w:szCs w:val="20"/>
                <w:lang w:val="ca-ES" w:eastAsia="es-ES"/>
                <w14:ligatures w14:val="none"/>
              </w:rPr>
              <w:t>Respecte envers el professor/a, els companys, si mateix i el seu entorn i compliment de les normes de convivència i dels deures dels alumnes contemplats en les Normes de Funcionament del Centre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i/>
                <w:kern w:val="0"/>
                <w:sz w:val="20"/>
                <w:szCs w:val="20"/>
                <w:lang w:val="ca-ES" w:eastAsia="es-ES"/>
                <w14:ligatures w14:val="none"/>
              </w:rPr>
              <w:t>Esperit de superació, esforç i treball demostrat diàriament tant a casa com a l’aula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Observació a l’aula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Observació a l’aula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5%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5%</w:t>
            </w:r>
          </w:p>
        </w:tc>
      </w:tr>
    </w:tbl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i/>
          <w:i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kern w:val="0"/>
          <w:lang w:val="ca-ES" w:eastAsia="es-ES"/>
          <w14:ligatures w14:val="none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b/>
          <w:b/>
          <w:color w:val="00B0F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b/>
          <w:color w:val="00B0F0"/>
          <w:kern w:val="0"/>
          <w:lang w:val="ca-ES" w:eastAsia="es-ES"/>
          <w14:ligatures w14:val="none"/>
        </w:rPr>
        <w:t>Observacions rellevants del instruments d’avaluació emprats.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  <w:t>Per aprovar el trimestre caldrà haver superat ≥50% la suma de les competències avaluades.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cs="Arial"/>
          <w:lang w:val="ca-ES"/>
        </w:rPr>
      </w:pPr>
      <w:r>
        <w:rPr>
          <w:rFonts w:cs="Arial" w:ascii="Century Gothic" w:hAnsi="Century Gothic"/>
          <w:lang w:val="ca-ES"/>
        </w:rPr>
        <w:t xml:space="preserve">*En cas de les </w:t>
      </w:r>
      <w:r>
        <w:rPr>
          <w:rFonts w:cs="Arial" w:ascii="Century Gothic" w:hAnsi="Century Gothic"/>
          <w:b/>
          <w:bCs/>
          <w:lang w:val="ca-ES"/>
        </w:rPr>
        <w:t>redaccions</w:t>
      </w:r>
      <w:r>
        <w:rPr>
          <w:rFonts w:cs="Arial" w:ascii="Century Gothic" w:hAnsi="Century Gothic"/>
          <w:lang w:val="ca-ES"/>
        </w:rPr>
        <w:t>, l’alumne/a ha de lliurar una segona versió de la redacció corregida en funció de  les anotacions del professor/a. En lliurar aquesta segona versió, la nota de la redacció pot pujar fins a un punt més de la nota obtinguda en el primer lliurament. Aquesta segona versió ha d’adjuntar-se a la primera, per tal que el professorat pugui comprovar que s’han assimilat les correccions suggerides. Aquesta segona versió ha de ser lliurada en un termini de set dies posteriors a la recepció de la correcció de la primera versió.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cs="Arial"/>
          <w:lang w:val="ca-ES"/>
        </w:rPr>
      </w:pPr>
      <w:r>
        <w:rPr>
          <w:rFonts w:cs="Arial" w:ascii="Century Gothic" w:hAnsi="Century Gothic"/>
          <w:lang w:val="ca-ES"/>
        </w:rPr>
        <w:t xml:space="preserve">Les primeres versions de les redaccions seran lliurades i retornades en paper i a mà, i seran fetes en una hora de classe. No es permetrà l’ús de mòbil ni ordinador per a fer aquesta primera versió.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cs="Arial"/>
          <w:lang w:val="ca-ES"/>
        </w:rPr>
      </w:pPr>
      <w:r>
        <w:rPr>
          <w:rFonts w:cs="Arial" w:ascii="Century Gothic" w:hAnsi="Century Gothic"/>
          <w:b/>
          <w:bCs/>
          <w:lang w:val="ca-ES"/>
        </w:rPr>
        <w:t>**Reader/Llibre de lectura</w:t>
      </w:r>
      <w:r>
        <w:rPr>
          <w:rFonts w:cs="Arial" w:ascii="Century Gothic" w:hAnsi="Century Gothic"/>
          <w:lang w:val="ca-ES"/>
        </w:rPr>
        <w:t>. Es treballarà al llarg del 2n i/o 3r trimestre. En el trimestre/s que no es treballi el llibre de lectura, el percentatge assignat serà el de les activitats recollides a la situació d’aprenentatge trimestral així com el d’altres projectes.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cs="Arial"/>
          <w:lang w:val="ca-ES"/>
        </w:rPr>
      </w:pPr>
      <w:r>
        <w:rPr>
          <w:rFonts w:cs="Arial" w:ascii="Century Gothic" w:hAnsi="Century Gothic"/>
          <w:lang w:val="ca-ES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b/>
          <w:b/>
          <w:color w:val="00B0F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b/>
          <w:color w:val="00B0F0"/>
          <w:kern w:val="0"/>
          <w:lang w:val="ca-ES" w:eastAsia="es-ES"/>
          <w14:ligatures w14:val="none"/>
        </w:rPr>
        <w:t xml:space="preserve">Justificació d’absència el dia d’una prova o examen.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  <w:t>Si l’alumne no assisteix a classe el dia de la prova o examen, haurà de justificar documentalment la seva absència al professor afectat i tutor/a per tenir dret a fer-lo en un altre moment.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  <w:t>A llarg d’un mateix curs, només es pot faltar 2 vegades a un examen sense justificant del metge. A partir de la tercera vegada, sí caldrà un justificant mèdic.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b/>
          <w:b/>
          <w:bCs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b/>
          <w:bCs/>
          <w:kern w:val="0"/>
          <w:lang w:val="ca-ES" w:eastAsia="es-ES"/>
          <w14:ligatures w14:val="none"/>
        </w:rPr>
      </w:r>
    </w:p>
    <w:p>
      <w:pPr>
        <w:pStyle w:val="Normal"/>
        <w:widowControl w:val="fals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uppressAutoHyphens w:val="true"/>
        <w:spacing w:lineRule="auto" w:line="240" w:before="0" w:after="0"/>
        <w:jc w:val="both"/>
        <w:rPr>
          <w:rFonts w:ascii="Century Gothic" w:hAnsi="Century Gothic" w:eastAsia="Times New Roman" w:cs="Arial"/>
          <w:b/>
          <w:b/>
          <w:color w:val="00B0F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b/>
          <w:color w:val="00B0F0"/>
          <w:kern w:val="0"/>
          <w:lang w:val="ca-ES" w:eastAsia="es-ES"/>
          <w14:ligatures w14:val="none"/>
        </w:rPr>
        <w:t>Activitats de recuperació trimestral</w:t>
      </w:r>
    </w:p>
    <w:p>
      <w:pPr>
        <w:pStyle w:val="Normal"/>
        <w:widowControl w:val="fals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uppressAutoHyphens w:val="true"/>
        <w:spacing w:lineRule="auto" w:line="240" w:before="0" w:after="0"/>
        <w:jc w:val="both"/>
        <w:rPr>
          <w:rFonts w:ascii="Century Gothic" w:hAnsi="Century Gothic" w:eastAsia="Times New Roman" w:cs="Arial"/>
          <w:b/>
          <w:b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  <w:t xml:space="preserve">En cas de no superar el trimestre, l’alumne/-a haurà de superar el trimestre superior. 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uppressAutoHyphens w:val="true"/>
        <w:spacing w:lineRule="auto" w:line="240" w:before="240" w:after="60"/>
        <w:ind w:left="0" w:hanging="0"/>
        <w:jc w:val="both"/>
        <w:outlineLvl w:val="2"/>
        <w:rPr>
          <w:rFonts w:ascii="Century Gothic" w:hAnsi="Century Gothic" w:eastAsia="ヒラギノ角ゴ Pro W3" w:cs="Arial"/>
          <w:b/>
          <w:b/>
          <w:color w:val="00B0F0"/>
          <w:kern w:val="2"/>
          <w:lang w:val="ca-ES" w:eastAsia="es-ES"/>
          <w14:ligatures w14:val="none"/>
        </w:rPr>
      </w:pPr>
      <w:r>
        <w:rPr>
          <w:rFonts w:eastAsia="ヒラギノ角ゴ Pro W3" w:cs="Arial" w:ascii="Century Gothic" w:hAnsi="Century Gothic"/>
          <w:b/>
          <w:color w:val="00B0F0"/>
          <w:kern w:val="2"/>
          <w:lang w:val="ca-ES" w:eastAsia="es-ES"/>
          <w14:ligatures w14:val="none"/>
        </w:rPr>
        <w:t>Nota final contínua (juny)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  <w:t>La nota de la final contínua s’obté a partir de les notes obtingudes en els diferents trimestres segons: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i/>
          <w:i/>
          <w:color w:val="00B05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color w:val="00B050"/>
          <w:kern w:val="0"/>
          <w:lang w:val="ca-ES" w:eastAsia="es-ES"/>
          <w14:ligatures w14:val="none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Times New Roman" w:cs="Arial"/>
          <w:i/>
          <w:i/>
          <w:color w:val="FF000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color w:val="FF0000"/>
          <w:kern w:val="0"/>
          <w:lang w:val="ca-ES" w:eastAsia="es-ES"/>
          <w14:ligatures w14:val="none"/>
        </w:rPr>
        <w:t xml:space="preserve">QF = </w:t>
      </w:r>
      <w:r>
        <w:rPr>
          <w:rFonts w:eastAsia="Times New Roman" w:cs="Arial" w:ascii="Century Gothic" w:hAnsi="Century Gothic"/>
          <w:i/>
          <w:color w:val="FF0000"/>
          <w:kern w:val="0"/>
          <w:u w:val="single"/>
          <w:lang w:val="ca-ES" w:eastAsia="es-ES"/>
          <w14:ligatures w14:val="none"/>
        </w:rPr>
        <w:t>QT1x30% + QT2x30%  + QT3x40%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Times New Roman" w:cs="Arial"/>
          <w:i/>
          <w:i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kern w:val="0"/>
          <w:lang w:val="ca-ES" w:eastAsia="es-ES"/>
          <w14:ligatures w14:val="none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Times New Roman" w:cs="Arial"/>
          <w:i/>
          <w:i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kern w:val="0"/>
          <w:lang w:val="ca-ES" w:eastAsia="es-ES"/>
          <w14:ligatures w14:val="none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Times New Roman" w:cs="Arial"/>
          <w:i/>
          <w:i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kern w:val="0"/>
          <w:lang w:val="ca-ES" w:eastAsia="es-ES"/>
          <w14:ligatures w14:val="none"/>
        </w:rPr>
        <w:t>QF = qualificació final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Times New Roman" w:cs="Arial"/>
          <w:i/>
          <w:i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kern w:val="0"/>
          <w:lang w:val="ca-ES" w:eastAsia="es-ES"/>
          <w14:ligatures w14:val="none"/>
        </w:rPr>
        <w:t>QT1 = qualificació del primer trimestre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Times New Roman" w:cs="Arial"/>
          <w:i/>
          <w:i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kern w:val="0"/>
          <w:lang w:val="ca-ES" w:eastAsia="es-ES"/>
          <w14:ligatures w14:val="none"/>
        </w:rPr>
        <w:t>QT2 = qualificació del segon trimestre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Times New Roman" w:cs="Arial"/>
          <w:i/>
          <w:i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kern w:val="0"/>
          <w:lang w:val="ca-ES" w:eastAsia="es-ES"/>
          <w14:ligatures w14:val="none"/>
        </w:rPr>
        <w:t>QT3 = qualificació del tercer trimestre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i/>
          <w:i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kern w:val="0"/>
          <w:lang w:val="ca-ES" w:eastAsia="es-ES"/>
          <w14:ligatures w14:val="none"/>
        </w:rPr>
      </w:r>
    </w:p>
    <w:p>
      <w:pPr>
        <w:pStyle w:val="Normal"/>
        <w:spacing w:lineRule="auto" w:line="240" w:beforeAutospacing="1" w:afterAutospacing="1"/>
        <w:jc w:val="both"/>
        <w:rPr>
          <w:rFonts w:ascii="Century Gothic" w:hAnsi="Century Gothic" w:eastAsia="Calibri" w:cs="Arial"/>
          <w:kern w:val="0"/>
          <w:lang w:val="ca-ES" w:eastAsia="es-ES"/>
          <w14:ligatures w14:val="none"/>
        </w:rPr>
      </w:pPr>
      <w:r>
        <w:rPr>
          <w:rFonts w:eastAsia="Calibri" w:cs="Arial" w:ascii="Century Gothic" w:hAnsi="Century Gothic"/>
          <w:kern w:val="0"/>
          <w:lang w:val="ca-ES" w:eastAsia="es-ES"/>
          <w14:ligatures w14:val="none"/>
        </w:rPr>
        <w:t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Times New Roman" w:cs="Arial"/>
          <w:i/>
          <w:i/>
          <w:color w:val="FF000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color w:val="FF0000"/>
          <w:kern w:val="0"/>
          <w:lang w:val="ca-ES" w:eastAsia="es-ES"/>
          <w14:ligatures w14:val="none"/>
        </w:rPr>
        <w:t>AE: assoliment excel·lent (entre 9 i 10)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Times New Roman" w:cs="Arial"/>
          <w:i/>
          <w:i/>
          <w:color w:val="FF000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color w:val="FF0000"/>
          <w:kern w:val="0"/>
          <w:lang w:val="ca-ES" w:eastAsia="es-ES"/>
          <w14:ligatures w14:val="none"/>
        </w:rPr>
        <w:t>AN: assoliment notable (entre 7 i 8)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Times New Roman" w:cs="Arial"/>
          <w:i/>
          <w:i/>
          <w:color w:val="FF000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color w:val="FF0000"/>
          <w:kern w:val="0"/>
          <w:lang w:val="ca-ES" w:eastAsia="es-ES"/>
          <w14:ligatures w14:val="none"/>
        </w:rPr>
        <w:t>AS: assoliment satisfactori  (entre 5 i 6)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Times New Roman" w:cs="Arial"/>
          <w:i/>
          <w:i/>
          <w:color w:val="FF000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color w:val="FF0000"/>
          <w:kern w:val="0"/>
          <w:lang w:val="ca-ES" w:eastAsia="es-ES"/>
          <w14:ligatures w14:val="none"/>
        </w:rPr>
        <w:t>NA: no assoliment  (menys de 5)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color w:val="FF2712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color w:val="FF2712"/>
          <w:kern w:val="0"/>
          <w:lang w:val="ca-ES" w:eastAsia="es-ES"/>
          <w14:ligatures w14:val="none"/>
        </w:rPr>
      </w:r>
    </w:p>
    <w:p>
      <w:pPr>
        <w:pStyle w:val="Normal"/>
        <w:spacing w:lineRule="auto" w:line="240" w:before="0" w:after="240"/>
        <w:jc w:val="both"/>
        <w:rPr>
          <w:rFonts w:ascii="Century Gothic" w:hAnsi="Century Gothic" w:eastAsia="Times New Roman" w:cs="Arial"/>
          <w:bCs/>
          <w:color w:val="00000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bCs/>
          <w:color w:val="000000"/>
          <w:kern w:val="0"/>
          <w:lang w:val="ca-ES" w:eastAsia="es-ES"/>
          <w14:ligatures w14:val="none"/>
        </w:rPr>
        <w:t>L’arrodoniment de les notes serà a l’alça a partir de x,50.</w:t>
      </w:r>
    </w:p>
    <w:p>
      <w:pPr>
        <w:pStyle w:val="Normal"/>
        <w:spacing w:lineRule="auto" w:line="240" w:before="0" w:after="240"/>
        <w:jc w:val="both"/>
        <w:rPr>
          <w:rFonts w:ascii="Century Gothic" w:hAnsi="Century Gothic" w:eastAsia="Times New Roman" w:cs="Arial"/>
          <w:color w:val="00B0F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b/>
          <w:color w:val="00B0F0"/>
          <w:kern w:val="0"/>
          <w:lang w:val="ca-ES" w:eastAsia="es-ES"/>
          <w14:ligatures w14:val="none"/>
        </w:rPr>
        <w:t>RECUPERACIÓ MATÈRIA PENDENT CURSOS ANTERIORS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  <w:t>-A principi de curs, tot l’alumnat i famílies rebran les instruccions per recuperar la/es matèria/es pendents de  cursos anteriors a través d’un document que a la vegada estarà publicat a la pàgina web del centre.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  <w:t xml:space="preserve">-Una matèria suspesa de cursos anteriors quedarà automàticament aprovada en el cas que l’alumne/a assoleixi l’aprovat de la mateixa matèria però d’un curs superior.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uppressAutoHyphens w:val="true"/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uppressAutoHyphens w:val="true"/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  <w:t>-L'alumnat amb matèries pendents de cursos anteriors que passi a un grup d'adaptació individualitzada serà avaluat segons els criteris específics del nou grup entrant.</w:t>
      </w:r>
    </w:p>
    <w:p>
      <w:pPr>
        <w:pStyle w:val="Normal"/>
        <w:spacing w:lineRule="auto" w:line="240" w:before="0" w:after="0"/>
        <w:rPr>
          <w:rFonts w:ascii="Century Gothic" w:hAnsi="Century Gothic" w:eastAsia="Times New Roman" w:cs="Times New Roman"/>
          <w:kern w:val="0"/>
          <w:lang w:val="ca-ES" w:eastAsia="es-ES"/>
          <w14:ligatures w14:val="none"/>
        </w:rPr>
      </w:pPr>
      <w:r>
        <w:rPr>
          <w:rFonts w:eastAsia="Times New Roman" w:cs="Times New Roman" w:ascii="Century Gothic" w:hAnsi="Century Gothic"/>
          <w:kern w:val="0"/>
          <w:lang w:val="ca-ES" w:eastAsia="es-ES"/>
          <w14:ligatures w14:val="none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Times New Roman" w:cs="Times New Roman"/>
          <w:kern w:val="0"/>
          <w:lang w:val="ca-ES" w:eastAsia="es-ES"/>
          <w14:ligatures w14:val="none"/>
        </w:rPr>
      </w:pPr>
      <w:r>
        <w:rPr>
          <w:rFonts w:eastAsia="Times New Roman" w:cs="Times New Roman" w:ascii="Century Gothic" w:hAnsi="Century Gothic"/>
          <w:kern w:val="0"/>
          <w:lang w:val="ca-ES" w:eastAsia="es-ES"/>
          <w14:ligatures w14:val="none"/>
        </w:rPr>
      </w:r>
      <w:bookmarkStart w:id="2" w:name="_Hlk170895041"/>
      <w:bookmarkStart w:id="3" w:name="_Hlk170895041"/>
      <w:bookmarkEnd w:id="3"/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Times New Roman" w:cs="Times New Roman"/>
          <w:kern w:val="0"/>
          <w:lang w:val="ca-ES" w:eastAsia="es-ES"/>
          <w14:ligatures w14:val="none"/>
        </w:rPr>
      </w:pPr>
      <w:r>
        <w:rPr>
          <w:rFonts w:eastAsia="Times New Roman" w:cs="Times New Roman" w:ascii="Century Gothic" w:hAnsi="Century Gothic"/>
          <w:kern w:val="0"/>
          <w:lang w:val="ca-ES" w:eastAsia="es-ES"/>
          <w14:ligatures w14:val="none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entury Gothic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99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693"/>
      <w:gridCol w:w="2303"/>
      <w:gridCol w:w="1125"/>
      <w:gridCol w:w="1013"/>
      <w:gridCol w:w="1980"/>
      <w:gridCol w:w="573"/>
      <w:gridCol w:w="1264"/>
      <w:gridCol w:w="746"/>
    </w:tblGrid>
    <w:tr>
      <w:trPr>
        <w:trHeight w:val="294" w:hRule="atLeast"/>
        <w:cantSplit w:val="true"/>
      </w:trPr>
      <w:tc>
        <w:tcPr>
          <w:tcW w:w="693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Peudepgina"/>
            <w:widowControl w:val="false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  <w:r>
            <w:rPr/>
            <w:drawing>
              <wp:inline distT="0" distB="0" distL="0" distR="0">
                <wp:extent cx="279400" cy="317500"/>
                <wp:effectExtent l="0" t="0" r="0" b="0"/>
                <wp:docPr id="2" name="Imagen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400" cy="317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Peudepgina"/>
            <w:widowControl w:val="false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 xml:space="preserve">Generalitat de Catalunya </w:t>
          </w:r>
        </w:p>
        <w:p>
          <w:pPr>
            <w:pStyle w:val="Peudepgina"/>
            <w:widowControl w:val="false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>Departament d’Educació</w:t>
          </w:r>
        </w:p>
        <w:p>
          <w:pPr>
            <w:pStyle w:val="Peudepgina"/>
            <w:widowControl w:val="false"/>
            <w:rPr>
              <w:rFonts w:ascii="Arial" w:hAnsi="Arial" w:cs="Arial"/>
              <w:b/>
              <w:b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b/>
              <w:color w:val="808080"/>
              <w:sz w:val="16"/>
              <w:szCs w:val="16"/>
              <w:lang w:val="ca-ES"/>
            </w:rPr>
            <w:t>Institut Baix Camp</w:t>
          </w:r>
        </w:p>
      </w:tc>
      <w:tc>
        <w:tcPr>
          <w:tcW w:w="112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color="auto" w:fill="auto" w:val="clear"/>
          <w:vAlign w:val="center"/>
        </w:tcPr>
        <w:p>
          <w:pPr>
            <w:pStyle w:val="Peudepgina"/>
            <w:widowControl w:val="false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>25/06/2024</w:t>
          </w:r>
        </w:p>
      </w:tc>
      <w:tc>
        <w:tcPr>
          <w:tcW w:w="1013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Peudepgina"/>
            <w:widowControl w:val="false"/>
            <w:jc w:val="right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>Arxiu</w:t>
          </w:r>
        </w:p>
      </w:tc>
      <w:tc>
        <w:tcPr>
          <w:tcW w:w="3817" w:type="dxa"/>
          <w:gridSpan w:val="3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Peudepgina"/>
            <w:widowControl w:val="false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>Model criteris qualificació ESO</w:t>
          </w:r>
        </w:p>
      </w:tc>
      <w:tc>
        <w:tcPr>
          <w:tcW w:w="746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Peudepgina"/>
            <w:widowControl w:val="false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fldChar w:fldCharType="begin"/>
          </w:r>
          <w:r>
            <w:rPr>
              <w:sz w:val="16"/>
              <w:szCs w:val="16"/>
              <w:rFonts w:cs="Arial" w:ascii="Arial" w:hAnsi="Arial"/>
              <w:color w:val="808080"/>
              <w:lang w:val="ca-ES"/>
            </w:rPr>
            <w:instrText> PAGE </w:instrText>
          </w:r>
          <w:r>
            <w:rPr>
              <w:sz w:val="16"/>
              <w:szCs w:val="16"/>
              <w:rFonts w:cs="Arial" w:ascii="Arial" w:hAnsi="Arial"/>
              <w:color w:val="808080"/>
              <w:lang w:val="ca-ES"/>
            </w:rPr>
            <w:fldChar w:fldCharType="separate"/>
          </w:r>
          <w:r>
            <w:rPr>
              <w:sz w:val="16"/>
              <w:szCs w:val="16"/>
              <w:rFonts w:cs="Arial" w:ascii="Arial" w:hAnsi="Arial"/>
              <w:color w:val="808080"/>
              <w:lang w:val="ca-ES"/>
            </w:rPr>
            <w:t>4</w:t>
          </w:r>
          <w:r>
            <w:rPr>
              <w:sz w:val="16"/>
              <w:szCs w:val="16"/>
              <w:rFonts w:cs="Arial" w:ascii="Arial" w:hAnsi="Arial"/>
              <w:color w:val="808080"/>
              <w:lang w:val="ca-ES"/>
            </w:rPr>
            <w:fldChar w:fldCharType="end"/>
          </w: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 xml:space="preserve"> </w:t>
          </w: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 xml:space="preserve">de </w:t>
          </w: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fldChar w:fldCharType="begin"/>
          </w:r>
          <w:r>
            <w:rPr>
              <w:sz w:val="16"/>
              <w:szCs w:val="16"/>
              <w:rFonts w:cs="Arial" w:ascii="Arial" w:hAnsi="Arial"/>
              <w:color w:val="808080"/>
              <w:lang w:val="ca-ES"/>
            </w:rPr>
            <w:instrText> NUMPAGES </w:instrText>
          </w:r>
          <w:r>
            <w:rPr>
              <w:sz w:val="16"/>
              <w:szCs w:val="16"/>
              <w:rFonts w:cs="Arial" w:ascii="Arial" w:hAnsi="Arial"/>
              <w:color w:val="808080"/>
              <w:lang w:val="ca-ES"/>
            </w:rPr>
            <w:fldChar w:fldCharType="separate"/>
          </w:r>
          <w:r>
            <w:rPr>
              <w:sz w:val="16"/>
              <w:szCs w:val="16"/>
              <w:rFonts w:cs="Arial" w:ascii="Arial" w:hAnsi="Arial"/>
              <w:color w:val="808080"/>
              <w:lang w:val="ca-ES"/>
            </w:rPr>
            <w:t>4</w:t>
          </w:r>
          <w:r>
            <w:rPr>
              <w:sz w:val="16"/>
              <w:szCs w:val="16"/>
              <w:rFonts w:cs="Arial" w:ascii="Arial" w:hAnsi="Arial"/>
              <w:color w:val="808080"/>
              <w:lang w:val="ca-ES"/>
            </w:rPr>
            <w:fldChar w:fldCharType="end"/>
          </w:r>
        </w:p>
      </w:tc>
    </w:tr>
    <w:tr>
      <w:trPr>
        <w:trHeight w:val="294" w:hRule="atLeast"/>
        <w:cantSplit w:val="true"/>
      </w:trPr>
      <w:tc>
        <w:tcPr>
          <w:tcW w:w="693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Peudepgina"/>
            <w:widowControl w:val="false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  <w:r>
            <w:rPr>
              <w:rFonts w:cs="Arial" w:ascii="Arial" w:hAnsi="Arial"/>
              <w:sz w:val="16"/>
              <w:szCs w:val="16"/>
              <w:lang w:val="ca-ES"/>
            </w:rPr>
          </w:r>
        </w:p>
      </w:tc>
      <w:tc>
        <w:tcPr>
          <w:tcW w:w="2303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Peudepgina"/>
            <w:widowControl w:val="false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  <w:r>
            <w:rPr>
              <w:rFonts w:cs="Arial" w:ascii="Arial" w:hAnsi="Arial"/>
              <w:sz w:val="16"/>
              <w:szCs w:val="16"/>
              <w:lang w:val="ca-ES"/>
            </w:rPr>
          </w:r>
        </w:p>
      </w:tc>
      <w:tc>
        <w:tcPr>
          <w:tcW w:w="112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color="auto" w:fill="auto" w:val="clear"/>
          <w:vAlign w:val="center"/>
        </w:tcPr>
        <w:p>
          <w:pPr>
            <w:pStyle w:val="Peudepgina"/>
            <w:widowControl w:val="false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>versió  1</w:t>
          </w:r>
        </w:p>
      </w:tc>
      <w:tc>
        <w:tcPr>
          <w:tcW w:w="1013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Peudepgina"/>
            <w:widowControl w:val="false"/>
            <w:jc w:val="right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>Elaborat</w:t>
          </w:r>
        </w:p>
      </w:tc>
      <w:tc>
        <w:tcPr>
          <w:tcW w:w="198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Peudepgina"/>
            <w:widowControl w:val="false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 xml:space="preserve">Coordinació pedagògica </w:t>
          </w:r>
        </w:p>
      </w:tc>
      <w:tc>
        <w:tcPr>
          <w:tcW w:w="573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Peudepgina"/>
            <w:widowControl w:val="false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>Codi</w:t>
          </w:r>
        </w:p>
      </w:tc>
      <w:tc>
        <w:tcPr>
          <w:tcW w:w="126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Peudepgina"/>
            <w:widowControl w:val="false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>MO-PRO087</w:t>
          </w:r>
        </w:p>
      </w:tc>
      <w:tc>
        <w:tcPr>
          <w:tcW w:w="746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Peudepgina"/>
            <w:widowControl w:val="false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  <w:r>
            <w:rPr>
              <w:rFonts w:cs="Arial" w:ascii="Arial" w:hAnsi="Arial"/>
              <w:sz w:val="16"/>
              <w:szCs w:val="16"/>
              <w:lang w:val="ca-ES"/>
            </w:rPr>
          </w:r>
        </w:p>
      </w:tc>
    </w:tr>
  </w:tbl>
  <w:p>
    <w:pPr>
      <w:pStyle w:val="Peu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180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060"/>
      <w:gridCol w:w="1798"/>
      <w:gridCol w:w="4322"/>
    </w:tblGrid>
    <w:tr>
      <w:trPr>
        <w:trHeight w:val="537" w:hRule="atLeast"/>
      </w:trPr>
      <w:tc>
        <w:tcPr>
          <w:tcW w:w="3060" w:type="dxa"/>
          <w:vMerge w:val="restart"/>
          <w:tcBorders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left" w:pos="567" w:leader="none"/>
            </w:tabs>
            <w:spacing w:lineRule="exact" w:line="240" w:before="0" w:after="160"/>
            <w:rPr>
              <w:color w:val="333333"/>
            </w:rPr>
          </w:pPr>
          <w:r>
            <w:rPr>
              <w:color w:val="333333"/>
            </w:rPr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-809625</wp:posOffset>
                </wp:positionH>
                <wp:positionV relativeFrom="paragraph">
                  <wp:posOffset>-1905</wp:posOffset>
                </wp:positionV>
                <wp:extent cx="809625" cy="809625"/>
                <wp:effectExtent l="0" t="0" r="0" b="0"/>
                <wp:wrapSquare wrapText="bothSides"/>
                <wp:docPr id="1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20" w:type="dxa"/>
          <w:gridSpan w:val="2"/>
          <w:tcBorders/>
          <w:vAlign w:val="center"/>
        </w:tcPr>
        <w:p>
          <w:pPr>
            <w:pStyle w:val="Encapalament1"/>
            <w:widowControl w:val="false"/>
            <w:spacing w:before="0" w:after="0"/>
            <w:jc w:val="center"/>
            <w:rPr>
              <w:rFonts w:ascii="Century Gothic" w:hAnsi="Century Gothic" w:cs="Times New Roman"/>
              <w:bCs w:val="false"/>
              <w:color w:val="333333"/>
              <w:kern w:val="0"/>
              <w:sz w:val="20"/>
              <w:szCs w:val="20"/>
            </w:rPr>
          </w:pPr>
          <w:r>
            <w:rPr>
              <w:rFonts w:cs="Times New Roman" w:ascii="Century Gothic" w:hAnsi="Century Gothic"/>
              <w:bCs w:val="false"/>
              <w:color w:val="333333"/>
              <w:kern w:val="0"/>
              <w:sz w:val="20"/>
              <w:szCs w:val="20"/>
            </w:rPr>
            <w:t xml:space="preserve">          </w:t>
          </w:r>
          <w:r>
            <w:rPr>
              <w:rFonts w:cs="Times New Roman" w:ascii="Century Gothic" w:hAnsi="Century Gothic"/>
              <w:bCs w:val="false"/>
              <w:color w:val="333333"/>
              <w:kern w:val="0"/>
              <w:sz w:val="20"/>
              <w:szCs w:val="20"/>
            </w:rPr>
            <w:t>CRITERIS DE QUALIFICACIÓ ESO</w:t>
          </w:r>
        </w:p>
      </w:tc>
    </w:tr>
    <w:tr>
      <w:trPr>
        <w:trHeight w:val="253" w:hRule="atLeast"/>
      </w:trPr>
      <w:tc>
        <w:tcPr>
          <w:tcW w:w="3060" w:type="dxa"/>
          <w:vMerge w:val="continue"/>
          <w:tcBorders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left" w:pos="567" w:leader="none"/>
            </w:tabs>
            <w:spacing w:lineRule="exact" w:line="240" w:before="0" w:after="160"/>
            <w:rPr>
              <w:color w:val="333333"/>
              <w:lang w:eastAsia="es-ES_tradnl"/>
            </w:rPr>
          </w:pPr>
          <w:r>
            <w:rPr>
              <w:color w:val="333333"/>
              <w:lang w:eastAsia="es-ES_tradnl"/>
            </w:rPr>
          </w:r>
        </w:p>
      </w:tc>
      <w:tc>
        <w:tcPr>
          <w:tcW w:w="1798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pacing w:before="0" w:after="160"/>
            <w:rPr>
              <w:rFonts w:ascii="Century Gothic" w:hAnsi="Century Gothic" w:cs="Arial"/>
              <w:color w:val="333333"/>
              <w:sz w:val="18"/>
              <w:szCs w:val="18"/>
            </w:rPr>
          </w:pPr>
          <w:r>
            <w:rPr>
              <w:rFonts w:cs="Arial" w:ascii="Century Gothic" w:hAnsi="Century Gothic"/>
              <w:color w:val="333333"/>
              <w:sz w:val="18"/>
              <w:szCs w:val="18"/>
            </w:rPr>
            <w:t>Matèria</w:t>
          </w:r>
        </w:p>
      </w:tc>
      <w:tc>
        <w:tcPr>
          <w:tcW w:w="4322" w:type="dxa"/>
          <w:tcBorders/>
          <w:vAlign w:val="center"/>
        </w:tcPr>
        <w:p>
          <w:pPr>
            <w:pStyle w:val="Normal"/>
            <w:widowControl w:val="false"/>
            <w:spacing w:before="0" w:after="160"/>
            <w:rPr>
              <w:rFonts w:ascii="Century Gothic" w:hAnsi="Century Gothic" w:cs="Arial"/>
              <w:color w:val="333333"/>
              <w:sz w:val="18"/>
              <w:szCs w:val="18"/>
              <w:lang w:val="ca-ES"/>
            </w:rPr>
          </w:pPr>
          <w:r>
            <w:rPr>
              <w:rFonts w:cs="Arial" w:ascii="Century Gothic" w:hAnsi="Century Gothic"/>
              <w:color w:val="333333"/>
              <w:sz w:val="18"/>
              <w:szCs w:val="18"/>
              <w:lang w:val="ca-ES"/>
            </w:rPr>
            <w:t>Llengua Estrangera (anglès)</w:t>
          </w:r>
        </w:p>
      </w:tc>
    </w:tr>
    <w:tr>
      <w:trPr>
        <w:trHeight w:val="403" w:hRule="atLeast"/>
      </w:trPr>
      <w:tc>
        <w:tcPr>
          <w:tcW w:w="3060" w:type="dxa"/>
          <w:vMerge w:val="continue"/>
          <w:tcBorders>
            <w:bottom w:val="single" w:sz="4" w:space="0" w:color="000000"/>
          </w:tcBorders>
        </w:tcPr>
        <w:p>
          <w:pPr>
            <w:pStyle w:val="Normal"/>
            <w:widowControl w:val="false"/>
            <w:tabs>
              <w:tab w:val="clear" w:pos="708"/>
              <w:tab w:val="left" w:pos="567" w:leader="none"/>
            </w:tabs>
            <w:spacing w:lineRule="exact" w:line="240" w:before="0" w:after="160"/>
            <w:rPr>
              <w:rFonts w:cs="Arial"/>
              <w:color w:val="333333"/>
            </w:rPr>
          </w:pPr>
          <w:r>
            <w:rPr>
              <w:rFonts w:cs="Arial"/>
              <w:color w:val="333333"/>
            </w:rPr>
          </w:r>
        </w:p>
      </w:tc>
      <w:tc>
        <w:tcPr>
          <w:tcW w:w="1798" w:type="dxa"/>
          <w:tcBorders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before="0" w:after="160"/>
            <w:rPr>
              <w:rFonts w:ascii="Century Gothic" w:hAnsi="Century Gothic"/>
              <w:color w:val="333333"/>
              <w:sz w:val="18"/>
              <w:szCs w:val="18"/>
            </w:rPr>
          </w:pPr>
          <w:r>
            <w:rPr>
              <w:rFonts w:cs="Arial" w:ascii="Century Gothic" w:hAnsi="Century Gothic"/>
              <w:color w:val="333333"/>
              <w:sz w:val="18"/>
              <w:szCs w:val="18"/>
            </w:rPr>
            <w:t>Curs</w:t>
          </w:r>
        </w:p>
      </w:tc>
      <w:tc>
        <w:tcPr>
          <w:tcW w:w="4322" w:type="dxa"/>
          <w:tcBorders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Century Gothic" w:hAnsi="Century Gothic"/>
              <w:color w:val="333333"/>
              <w:sz w:val="18"/>
              <w:szCs w:val="18"/>
              <w:lang w:val="en-GB"/>
            </w:rPr>
          </w:pPr>
          <w:r>
            <w:rPr>
              <w:rFonts w:ascii="Century Gothic" w:hAnsi="Century Gothic"/>
              <w:color w:val="333333"/>
              <w:sz w:val="18"/>
              <w:szCs w:val="18"/>
              <w:lang w:val="en-GB"/>
            </w:rPr>
            <w:t>4t</w:t>
          </w:r>
          <w:r>
            <w:rPr>
              <w:rFonts w:ascii="Century Gothic" w:hAnsi="Century Gothic"/>
              <w:color w:val="333333"/>
              <w:sz w:val="18"/>
              <w:szCs w:val="18"/>
              <w:lang w:val="en-GB"/>
            </w:rPr>
            <w:t xml:space="preserve"> </w:t>
          </w:r>
        </w:p>
      </w:tc>
    </w:tr>
  </w:tbl>
  <w:p>
    <w:pPr>
      <w:pStyle w:val="Capalera"/>
      <w:rPr>
        <w:lang w:val="en-GB"/>
      </w:rPr>
    </w:pPr>
    <w:r>
      <w:rPr>
        <w:lang w:val="en-GB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s-ES" w:eastAsia="en-US" w:bidi="ar-SA"/>
      <w14:ligatures w14:val="standardContextual"/>
    </w:rPr>
  </w:style>
  <w:style w:type="paragraph" w:styleId="Encapalament1">
    <w:name w:val="Heading 1"/>
    <w:basedOn w:val="Normal"/>
    <w:next w:val="Normal"/>
    <w:link w:val="Ttol1Car"/>
    <w:qFormat/>
    <w:rsid w:val="00f072d9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val="ca-ES" w:eastAsia="ca-ES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ol1Car" w:customStyle="1">
    <w:name w:val="Títol 1 Car"/>
    <w:basedOn w:val="DefaultParagraphFont"/>
    <w:link w:val="Ttol1"/>
    <w:qFormat/>
    <w:rsid w:val="00f072d9"/>
    <w:rPr>
      <w:rFonts w:ascii="Arial" w:hAnsi="Arial" w:eastAsia="Times New Roman" w:cs="Arial"/>
      <w:b/>
      <w:bCs/>
      <w:kern w:val="2"/>
      <w:sz w:val="32"/>
      <w:szCs w:val="32"/>
      <w:lang w:val="ca-ES" w:eastAsia="ca-ES"/>
      <w14:ligatures w14:val="none"/>
    </w:rPr>
  </w:style>
  <w:style w:type="character" w:styleId="CapaleraCar" w:customStyle="1">
    <w:name w:val="Capçalera Car"/>
    <w:basedOn w:val="DefaultParagraphFont"/>
    <w:link w:val="Capalera"/>
    <w:qFormat/>
    <w:rsid w:val="00f072d9"/>
    <w:rPr>
      <w:rFonts w:ascii="Times New Roman" w:hAnsi="Times New Roman" w:eastAsia="Times New Roman" w:cs="Times New Roman"/>
      <w:kern w:val="0"/>
      <w:sz w:val="24"/>
      <w:szCs w:val="24"/>
      <w:lang w:eastAsia="es-ES"/>
      <w14:ligatures w14:val="none"/>
    </w:rPr>
  </w:style>
  <w:style w:type="character" w:styleId="PeuCar" w:customStyle="1">
    <w:name w:val="Peu Car"/>
    <w:basedOn w:val="DefaultParagraphFont"/>
    <w:link w:val="Peu"/>
    <w:qFormat/>
    <w:rsid w:val="00f072d9"/>
    <w:rPr>
      <w:rFonts w:ascii="Times New Roman" w:hAnsi="Times New Roman" w:eastAsia="Times New Roman" w:cs="Times New Roman"/>
      <w:kern w:val="0"/>
      <w:sz w:val="24"/>
      <w:szCs w:val="24"/>
      <w:lang w:eastAsia="es-ES"/>
      <w14:ligatures w14:val="none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Capaleraipeu">
    <w:name w:val="Capçalera i peu"/>
    <w:basedOn w:val="Normal"/>
    <w:qFormat/>
    <w:pPr/>
    <w:rPr/>
  </w:style>
  <w:style w:type="paragraph" w:styleId="Capalera">
    <w:name w:val="Header"/>
    <w:basedOn w:val="Normal"/>
    <w:link w:val="CapaleraCar"/>
    <w:rsid w:val="00f072d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es-ES"/>
      <w14:ligatures w14:val="none"/>
    </w:rPr>
  </w:style>
  <w:style w:type="paragraph" w:styleId="Peudepgina">
    <w:name w:val="Footer"/>
    <w:basedOn w:val="Normal"/>
    <w:link w:val="PeuCar"/>
    <w:rsid w:val="00f072d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es-ES"/>
      <w14:ligatures w14:val="none"/>
    </w:rPr>
  </w:style>
  <w:style w:type="paragraph" w:styleId="ListParagraph">
    <w:name w:val="List Paragraph"/>
    <w:basedOn w:val="Normal"/>
    <w:uiPriority w:val="34"/>
    <w:qFormat/>
    <w:rsid w:val="005c432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LibreOffice/7.0.6.2$Windows_X86_64 LibreOffice_project/144abb84a525d8e30c9dbbefa69cbbf2d8d4ae3b</Application>
  <AppVersion>15.0000</AppVersion>
  <Pages>4</Pages>
  <Words>1289</Words>
  <Characters>7278</Characters>
  <CharactersWithSpaces>8481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2024-07-03T09:31:00Z</dcterms:created>
  <dc:creator>Usuari</dc:creator>
  <dc:description/>
  <dc:language>ca-ES</dc:language>
  <cp:lastModifiedBy/>
  <cp:lastPrinted>2024-07-15T09:06:00Z</cp:lastPrinted>
  <dcterms:modified xsi:type="dcterms:W3CDTF">2025-09-07T12:29:21Z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